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309" w:rsidRDefault="000E1309" w:rsidP="000E1309">
      <w:pPr>
        <w:spacing w:before="100" w:beforeAutospacing="1" w:after="100" w:afterAutospacing="1" w:line="480" w:lineRule="auto"/>
        <w:jc w:val="center"/>
        <w:rPr>
          <w:rFonts w:ascii="Times New Roman" w:eastAsia="Times New Roman" w:hAnsi="Times New Roman" w:cs="Times New Roman"/>
          <w:sz w:val="24"/>
          <w:szCs w:val="24"/>
        </w:rPr>
      </w:pPr>
    </w:p>
    <w:p w:rsidR="000E1309" w:rsidRDefault="000E1309" w:rsidP="000E1309">
      <w:pPr>
        <w:spacing w:before="100" w:beforeAutospacing="1" w:after="100" w:afterAutospacing="1" w:line="480" w:lineRule="auto"/>
        <w:jc w:val="center"/>
        <w:rPr>
          <w:rFonts w:ascii="Times New Roman" w:eastAsia="Times New Roman" w:hAnsi="Times New Roman" w:cs="Times New Roman"/>
          <w:sz w:val="24"/>
          <w:szCs w:val="24"/>
        </w:rPr>
      </w:pPr>
    </w:p>
    <w:p w:rsidR="000E1309" w:rsidRDefault="000E1309" w:rsidP="000E1309">
      <w:pPr>
        <w:spacing w:before="100" w:beforeAutospacing="1" w:after="100" w:afterAutospacing="1" w:line="480" w:lineRule="auto"/>
        <w:jc w:val="center"/>
        <w:rPr>
          <w:rFonts w:ascii="Times New Roman" w:eastAsia="Times New Roman" w:hAnsi="Times New Roman" w:cs="Times New Roman"/>
          <w:sz w:val="24"/>
          <w:szCs w:val="24"/>
        </w:rPr>
      </w:pPr>
    </w:p>
    <w:p w:rsidR="000E1309" w:rsidRDefault="000E1309" w:rsidP="000E1309">
      <w:pPr>
        <w:spacing w:before="100" w:beforeAutospacing="1" w:after="100" w:afterAutospacing="1" w:line="480" w:lineRule="auto"/>
        <w:jc w:val="center"/>
        <w:rPr>
          <w:rFonts w:ascii="Times New Roman" w:eastAsia="Times New Roman" w:hAnsi="Times New Roman" w:cs="Times New Roman"/>
          <w:sz w:val="24"/>
          <w:szCs w:val="24"/>
        </w:rPr>
      </w:pPr>
    </w:p>
    <w:p w:rsidR="000E1309" w:rsidRDefault="000E1309" w:rsidP="000E1309">
      <w:pPr>
        <w:spacing w:before="100" w:beforeAutospacing="1" w:after="100" w:afterAutospacing="1" w:line="480" w:lineRule="auto"/>
        <w:jc w:val="center"/>
        <w:rPr>
          <w:rFonts w:ascii="Times New Roman" w:eastAsia="Times New Roman" w:hAnsi="Times New Roman" w:cs="Times New Roman"/>
          <w:sz w:val="24"/>
          <w:szCs w:val="24"/>
        </w:rPr>
      </w:pPr>
    </w:p>
    <w:p w:rsidR="00A34720" w:rsidRDefault="000E1309" w:rsidP="000E1309">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Accounting and financial principles summary</w:t>
      </w:r>
      <w:r w:rsidR="00FD699B">
        <w:rPr>
          <w:rFonts w:ascii="Times New Roman" w:eastAsia="Times New Roman" w:hAnsi="Times New Roman" w:cs="Times New Roman"/>
          <w:sz w:val="24"/>
          <w:szCs w:val="24"/>
        </w:rPr>
        <w:t>: Questions</w:t>
      </w:r>
    </w:p>
    <w:p w:rsidR="000E1309" w:rsidRDefault="000E1309" w:rsidP="000E1309">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0E1309" w:rsidRDefault="000E1309" w:rsidP="000E1309">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0E1309" w:rsidRDefault="000E1309" w:rsidP="000E1309">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0E1309" w:rsidRDefault="000E1309" w:rsidP="000E1309">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0E1309" w:rsidRDefault="000E1309" w:rsidP="00A34720">
      <w:pPr>
        <w:spacing w:before="100" w:beforeAutospacing="1" w:after="100" w:afterAutospacing="1" w:line="480" w:lineRule="auto"/>
        <w:jc w:val="both"/>
        <w:rPr>
          <w:rFonts w:ascii="Times New Roman" w:eastAsia="Times New Roman" w:hAnsi="Times New Roman" w:cs="Times New Roman"/>
          <w:sz w:val="24"/>
          <w:szCs w:val="24"/>
        </w:rPr>
      </w:pPr>
    </w:p>
    <w:p w:rsidR="000E1309" w:rsidRPr="00CE7DA3" w:rsidRDefault="000E1309" w:rsidP="00A34720">
      <w:pPr>
        <w:spacing w:before="100" w:beforeAutospacing="1" w:after="100" w:afterAutospacing="1" w:line="480" w:lineRule="auto"/>
        <w:jc w:val="both"/>
        <w:rPr>
          <w:rFonts w:ascii="Times New Roman" w:eastAsia="Times New Roman" w:hAnsi="Times New Roman" w:cs="Times New Roman"/>
          <w:sz w:val="24"/>
          <w:szCs w:val="24"/>
        </w:rPr>
      </w:pPr>
    </w:p>
    <w:p w:rsidR="00A34720" w:rsidRPr="00CE7DA3" w:rsidRDefault="00A34720" w:rsidP="00A34720">
      <w:pPr>
        <w:spacing w:before="100" w:beforeAutospacing="1" w:after="100" w:afterAutospacing="1" w:line="480" w:lineRule="auto"/>
        <w:jc w:val="both"/>
        <w:rPr>
          <w:rFonts w:ascii="Times New Roman" w:eastAsia="Times New Roman" w:hAnsi="Times New Roman" w:cs="Times New Roman"/>
          <w:sz w:val="24"/>
          <w:szCs w:val="24"/>
        </w:rPr>
      </w:pPr>
    </w:p>
    <w:p w:rsidR="00A34720" w:rsidRPr="00CE7DA3" w:rsidRDefault="00A34720" w:rsidP="00A34720">
      <w:pPr>
        <w:spacing w:before="100" w:beforeAutospacing="1" w:after="100" w:afterAutospacing="1" w:line="480" w:lineRule="auto"/>
        <w:jc w:val="both"/>
        <w:rPr>
          <w:rFonts w:ascii="Times New Roman" w:eastAsia="Times New Roman" w:hAnsi="Times New Roman" w:cs="Times New Roman"/>
          <w:sz w:val="24"/>
          <w:szCs w:val="24"/>
        </w:rPr>
      </w:pPr>
    </w:p>
    <w:p w:rsidR="00A34720" w:rsidRDefault="00A34720" w:rsidP="00A34720">
      <w:pPr>
        <w:spacing w:before="100" w:beforeAutospacing="1" w:after="100" w:afterAutospacing="1" w:line="480" w:lineRule="auto"/>
        <w:jc w:val="both"/>
        <w:rPr>
          <w:rFonts w:ascii="Times New Roman" w:eastAsia="Times New Roman" w:hAnsi="Times New Roman" w:cs="Times New Roman"/>
          <w:sz w:val="24"/>
          <w:szCs w:val="24"/>
        </w:rPr>
      </w:pPr>
    </w:p>
    <w:p w:rsidR="00A34720" w:rsidRPr="00CE7DA3" w:rsidRDefault="00A34720" w:rsidP="000E1309">
      <w:pPr>
        <w:spacing w:before="100" w:beforeAutospacing="1" w:after="100" w:afterAutospacing="1" w:line="480" w:lineRule="auto"/>
        <w:rPr>
          <w:rFonts w:ascii="Times New Roman" w:eastAsia="Times New Roman" w:hAnsi="Times New Roman" w:cs="Times New Roman"/>
          <w:sz w:val="24"/>
          <w:szCs w:val="24"/>
        </w:rPr>
      </w:pPr>
    </w:p>
    <w:p w:rsidR="00A34720" w:rsidRPr="00CE7DA3" w:rsidRDefault="00C04A4A" w:rsidP="00A34720">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Value-based models of payment</w:t>
      </w:r>
    </w:p>
    <w:p w:rsidR="00A34720" w:rsidRPr="00CE7DA3" w:rsidRDefault="00A34720" w:rsidP="00C04A4A">
      <w:pPr>
        <w:spacing w:before="100" w:beforeAutospacing="1" w:after="100" w:afterAutospacing="1" w:line="480" w:lineRule="auto"/>
        <w:ind w:firstLine="720"/>
        <w:jc w:val="both"/>
        <w:rPr>
          <w:rFonts w:ascii="Times New Roman" w:eastAsia="Times New Roman" w:hAnsi="Times New Roman" w:cs="Times New Roman"/>
          <w:sz w:val="24"/>
          <w:szCs w:val="24"/>
        </w:rPr>
      </w:pPr>
      <w:r w:rsidRPr="00CE7DA3">
        <w:rPr>
          <w:rFonts w:ascii="Times New Roman" w:eastAsia="Times New Roman" w:hAnsi="Times New Roman" w:cs="Times New Roman"/>
          <w:sz w:val="24"/>
          <w:szCs w:val="24"/>
        </w:rPr>
        <w:t>Value-Based model of payments refers to the concept where</w:t>
      </w:r>
      <w:r w:rsidR="000E1309">
        <w:rPr>
          <w:rFonts w:ascii="Times New Roman" w:eastAsia="Times New Roman" w:hAnsi="Times New Roman" w:cs="Times New Roman"/>
          <w:sz w:val="24"/>
          <w:szCs w:val="24"/>
        </w:rPr>
        <w:t>by</w:t>
      </w:r>
      <w:r w:rsidRPr="00CE7DA3">
        <w:rPr>
          <w:rFonts w:ascii="Times New Roman" w:eastAsia="Times New Roman" w:hAnsi="Times New Roman" w:cs="Times New Roman"/>
          <w:sz w:val="24"/>
          <w:szCs w:val="24"/>
        </w:rPr>
        <w:t xml:space="preserve"> the purchasers of healt</w:t>
      </w:r>
      <w:r w:rsidR="00095319" w:rsidRPr="00CE7DA3">
        <w:rPr>
          <w:rFonts w:ascii="Times New Roman" w:eastAsia="Times New Roman" w:hAnsi="Times New Roman" w:cs="Times New Roman"/>
          <w:sz w:val="24"/>
          <w:szCs w:val="24"/>
        </w:rPr>
        <w:t xml:space="preserve">hcare like government and payers </w:t>
      </w:r>
      <w:r w:rsidRPr="00CE7DA3">
        <w:rPr>
          <w:rFonts w:ascii="Times New Roman" w:eastAsia="Times New Roman" w:hAnsi="Times New Roman" w:cs="Times New Roman"/>
          <w:sz w:val="24"/>
          <w:szCs w:val="24"/>
        </w:rPr>
        <w:t xml:space="preserve">tend to hold the healthcare </w:t>
      </w:r>
      <w:r w:rsidR="00095319" w:rsidRPr="00CE7DA3">
        <w:rPr>
          <w:rFonts w:ascii="Times New Roman" w:eastAsia="Times New Roman" w:hAnsi="Times New Roman" w:cs="Times New Roman"/>
          <w:sz w:val="24"/>
          <w:szCs w:val="24"/>
        </w:rPr>
        <w:t xml:space="preserve">givers responsible for </w:t>
      </w:r>
      <w:r w:rsidRPr="00CE7DA3">
        <w:rPr>
          <w:rFonts w:ascii="Times New Roman" w:eastAsia="Times New Roman" w:hAnsi="Times New Roman" w:cs="Times New Roman"/>
          <w:sz w:val="24"/>
          <w:szCs w:val="24"/>
        </w:rPr>
        <w:t>quality and cost of care. Therefore, unlike the fee-for-service approach where healthcare providers are paid based on the number of services delivered, value-based payment is</w:t>
      </w:r>
      <w:r w:rsidR="00095319" w:rsidRPr="00CE7DA3">
        <w:rPr>
          <w:rFonts w:ascii="Times New Roman" w:eastAsia="Times New Roman" w:hAnsi="Times New Roman" w:cs="Times New Roman"/>
          <w:sz w:val="24"/>
          <w:szCs w:val="24"/>
        </w:rPr>
        <w:t xml:space="preserve"> based on health outcomes</w:t>
      </w:r>
      <w:r w:rsidRPr="00CE7DA3">
        <w:rPr>
          <w:rFonts w:ascii="Times New Roman" w:eastAsia="Times New Roman" w:hAnsi="Times New Roman" w:cs="Times New Roman"/>
          <w:sz w:val="24"/>
          <w:szCs w:val="24"/>
        </w:rPr>
        <w:t xml:space="preserve">. </w:t>
      </w:r>
    </w:p>
    <w:p w:rsidR="00A34720" w:rsidRPr="00CE7DA3" w:rsidRDefault="00C04A4A" w:rsidP="00A34720">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A34720" w:rsidRPr="00CE7DA3">
        <w:rPr>
          <w:rFonts w:ascii="Times New Roman" w:eastAsia="Times New Roman" w:hAnsi="Times New Roman" w:cs="Times New Roman"/>
          <w:sz w:val="24"/>
          <w:szCs w:val="24"/>
        </w:rPr>
        <w:t>n accountable care organization payment system.</w:t>
      </w:r>
    </w:p>
    <w:p w:rsidR="00A34720" w:rsidRPr="00CE7DA3" w:rsidRDefault="00A34720" w:rsidP="00C04A4A">
      <w:pPr>
        <w:spacing w:before="100" w:beforeAutospacing="1" w:after="100" w:afterAutospacing="1" w:line="480" w:lineRule="auto"/>
        <w:ind w:firstLine="720"/>
        <w:jc w:val="both"/>
        <w:rPr>
          <w:rFonts w:ascii="Times New Roman" w:eastAsia="Times New Roman" w:hAnsi="Times New Roman" w:cs="Times New Roman"/>
          <w:sz w:val="24"/>
          <w:szCs w:val="24"/>
        </w:rPr>
      </w:pPr>
      <w:r w:rsidRPr="00CE7DA3">
        <w:rPr>
          <w:rFonts w:ascii="Times New Roman" w:eastAsia="Times New Roman" w:hAnsi="Times New Roman" w:cs="Times New Roman"/>
          <w:sz w:val="24"/>
          <w:szCs w:val="24"/>
        </w:rPr>
        <w:t xml:space="preserve">Accountable care organizations (ACOs) entails a group of healthcare providers that have decided to account for the cost and quality of care for a particular group of beneficiaries. The primary aim of ACOs is to improve </w:t>
      </w:r>
      <w:r w:rsidR="00C04A4A">
        <w:rPr>
          <w:rFonts w:ascii="Times New Roman" w:eastAsia="Times New Roman" w:hAnsi="Times New Roman" w:cs="Times New Roman"/>
          <w:sz w:val="24"/>
          <w:szCs w:val="24"/>
        </w:rPr>
        <w:t xml:space="preserve">and </w:t>
      </w:r>
      <w:r w:rsidRPr="00CE7DA3">
        <w:rPr>
          <w:rFonts w:ascii="Times New Roman" w:eastAsia="Times New Roman" w:hAnsi="Times New Roman" w:cs="Times New Roman"/>
          <w:sz w:val="24"/>
          <w:szCs w:val="24"/>
        </w:rPr>
        <w:t>enhance coordination and quality</w:t>
      </w:r>
      <w:r w:rsidR="00C04A4A">
        <w:rPr>
          <w:rFonts w:ascii="Times New Roman" w:eastAsia="Times New Roman" w:hAnsi="Times New Roman" w:cs="Times New Roman"/>
          <w:sz w:val="24"/>
          <w:szCs w:val="24"/>
        </w:rPr>
        <w:t xml:space="preserve"> of care, maintain beneficiary</w:t>
      </w:r>
      <w:r w:rsidRPr="00CE7DA3">
        <w:rPr>
          <w:rFonts w:ascii="Times New Roman" w:eastAsia="Times New Roman" w:hAnsi="Times New Roman" w:cs="Times New Roman"/>
          <w:sz w:val="24"/>
          <w:szCs w:val="24"/>
        </w:rPr>
        <w:t xml:space="preserve"> autonomy concerning the provider and reduce some of the costly unnecessary services which are attributed to the coordination that takes place between the healthcare providers (Porter &amp; Lee, 2016). It is sufficient to note that beneficiaries do not join the ACOs but rather Medicare encourages beneficiaries to join on the basis of their Medicare claim history. Notably, it should be clear that Medicare only provides options that are deemed better but the beneficiaries have the absolute power to choose providers outside of the ACO. Additionally, there is ethical consideration with the ACO, this is because the providers still continue to receive the same fee-for-service rates by Medicare</w:t>
      </w:r>
      <w:r w:rsidR="00CE7DA3" w:rsidRPr="00CE7DA3">
        <w:rPr>
          <w:rFonts w:ascii="Times New Roman" w:eastAsia="Times New Roman" w:hAnsi="Times New Roman" w:cs="Times New Roman"/>
          <w:sz w:val="24"/>
          <w:szCs w:val="24"/>
        </w:rPr>
        <w:t>.</w:t>
      </w:r>
    </w:p>
    <w:p w:rsidR="00A34720" w:rsidRPr="00CE7DA3" w:rsidRDefault="000A3518" w:rsidP="00A34720">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A34720" w:rsidRPr="00CE7DA3">
        <w:rPr>
          <w:rFonts w:ascii="Times New Roman" w:eastAsia="Times New Roman" w:hAnsi="Times New Roman" w:cs="Times New Roman"/>
          <w:sz w:val="24"/>
          <w:szCs w:val="24"/>
        </w:rPr>
        <w:t>undled care</w:t>
      </w:r>
    </w:p>
    <w:p w:rsidR="00A34720" w:rsidRPr="00CE7DA3" w:rsidRDefault="00A34720" w:rsidP="000A3518">
      <w:pPr>
        <w:spacing w:before="100" w:beforeAutospacing="1" w:after="100" w:afterAutospacing="1" w:line="480" w:lineRule="auto"/>
        <w:ind w:firstLine="720"/>
        <w:jc w:val="both"/>
        <w:rPr>
          <w:rFonts w:ascii="Times New Roman" w:eastAsia="Times New Roman" w:hAnsi="Times New Roman" w:cs="Times New Roman"/>
          <w:sz w:val="24"/>
          <w:szCs w:val="24"/>
        </w:rPr>
      </w:pPr>
      <w:r w:rsidRPr="00CE7DA3">
        <w:rPr>
          <w:rFonts w:ascii="Times New Roman" w:eastAsia="Times New Roman" w:hAnsi="Times New Roman" w:cs="Times New Roman"/>
          <w:sz w:val="24"/>
          <w:szCs w:val="24"/>
        </w:rPr>
        <w:t xml:space="preserve">In a bundled care approach, there is a group of healthcare providers </w:t>
      </w:r>
      <w:r w:rsidR="000A3518">
        <w:rPr>
          <w:rFonts w:ascii="Times New Roman" w:eastAsia="Times New Roman" w:hAnsi="Times New Roman" w:cs="Times New Roman"/>
          <w:sz w:val="24"/>
          <w:szCs w:val="24"/>
        </w:rPr>
        <w:t xml:space="preserve">who </w:t>
      </w:r>
      <w:r w:rsidRPr="00CE7DA3">
        <w:rPr>
          <w:rFonts w:ascii="Times New Roman" w:eastAsia="Times New Roman" w:hAnsi="Times New Roman" w:cs="Times New Roman"/>
          <w:sz w:val="24"/>
          <w:szCs w:val="24"/>
        </w:rPr>
        <w:t>r</w:t>
      </w:r>
      <w:r w:rsidR="000A3518">
        <w:rPr>
          <w:rFonts w:ascii="Times New Roman" w:eastAsia="Times New Roman" w:hAnsi="Times New Roman" w:cs="Times New Roman"/>
          <w:sz w:val="24"/>
          <w:szCs w:val="24"/>
        </w:rPr>
        <w:t>eceives a single payment to cat</w:t>
      </w:r>
      <w:r w:rsidRPr="00CE7DA3">
        <w:rPr>
          <w:rFonts w:ascii="Times New Roman" w:eastAsia="Times New Roman" w:hAnsi="Times New Roman" w:cs="Times New Roman"/>
          <w:sz w:val="24"/>
          <w:szCs w:val="24"/>
        </w:rPr>
        <w:t>er for a variety of health needs of individuals. However, healthcare providers would usually cover a specific health issue within bundled care (</w:t>
      </w:r>
      <w:proofErr w:type="spellStart"/>
      <w:r w:rsidRPr="00CE7DA3">
        <w:rPr>
          <w:rFonts w:ascii="Times New Roman" w:eastAsia="Times New Roman" w:hAnsi="Times New Roman" w:cs="Times New Roman"/>
          <w:sz w:val="24"/>
          <w:szCs w:val="24"/>
        </w:rPr>
        <w:t>Kanters</w:t>
      </w:r>
      <w:proofErr w:type="spellEnd"/>
      <w:r w:rsidRPr="00CE7DA3">
        <w:rPr>
          <w:rFonts w:ascii="Times New Roman" w:eastAsia="Times New Roman" w:hAnsi="Times New Roman" w:cs="Times New Roman"/>
          <w:sz w:val="24"/>
          <w:szCs w:val="24"/>
        </w:rPr>
        <w:t xml:space="preserve"> &amp; </w:t>
      </w:r>
      <w:proofErr w:type="spellStart"/>
      <w:r w:rsidRPr="00CE7DA3">
        <w:rPr>
          <w:rFonts w:ascii="Times New Roman" w:eastAsia="Times New Roman" w:hAnsi="Times New Roman" w:cs="Times New Roman"/>
          <w:sz w:val="24"/>
          <w:szCs w:val="24"/>
        </w:rPr>
        <w:t>Ellimoottil</w:t>
      </w:r>
      <w:proofErr w:type="spellEnd"/>
      <w:r w:rsidRPr="00CE7DA3">
        <w:rPr>
          <w:rFonts w:ascii="Times New Roman" w:eastAsia="Times New Roman" w:hAnsi="Times New Roman" w:cs="Times New Roman"/>
          <w:sz w:val="24"/>
          <w:szCs w:val="24"/>
        </w:rPr>
        <w:t xml:space="preserve">, 2018). A single </w:t>
      </w:r>
      <w:r w:rsidRPr="00CE7DA3">
        <w:rPr>
          <w:rFonts w:ascii="Times New Roman" w:eastAsia="Times New Roman" w:hAnsi="Times New Roman" w:cs="Times New Roman"/>
          <w:sz w:val="24"/>
          <w:szCs w:val="24"/>
        </w:rPr>
        <w:lastRenderedPageBreak/>
        <w:t>reimbursement is provided for all the elements of care for a single diagnosis. Bundled care enhances efficiency in healthcare and thus reducing spending as the approach incentivize quality improvement.</w:t>
      </w:r>
    </w:p>
    <w:p w:rsidR="00A34720" w:rsidRPr="00CE7DA3" w:rsidRDefault="000A3518" w:rsidP="00A34720">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00A34720" w:rsidRPr="00CE7DA3">
        <w:rPr>
          <w:rFonts w:ascii="Times New Roman" w:eastAsia="Times New Roman" w:hAnsi="Times New Roman" w:cs="Times New Roman"/>
          <w:sz w:val="24"/>
          <w:szCs w:val="24"/>
        </w:rPr>
        <w:t>ow value-based, accountable care, and bundled payments will require hospitals to manage the following post-acute care environments:</w:t>
      </w:r>
    </w:p>
    <w:p w:rsidR="00A34720" w:rsidRPr="00CE7DA3" w:rsidRDefault="00A34720" w:rsidP="00A34720">
      <w:pPr>
        <w:spacing w:before="100" w:beforeAutospacing="1" w:after="100" w:afterAutospacing="1" w:line="480" w:lineRule="auto"/>
        <w:jc w:val="both"/>
        <w:rPr>
          <w:rFonts w:ascii="Times New Roman" w:eastAsia="Times New Roman" w:hAnsi="Times New Roman" w:cs="Times New Roman"/>
          <w:sz w:val="24"/>
          <w:szCs w:val="24"/>
        </w:rPr>
      </w:pPr>
      <w:r w:rsidRPr="00CE7DA3">
        <w:rPr>
          <w:rFonts w:ascii="Times New Roman" w:eastAsia="Times New Roman" w:hAnsi="Times New Roman" w:cs="Times New Roman"/>
          <w:sz w:val="24"/>
          <w:szCs w:val="24"/>
        </w:rPr>
        <w:t>Outpatient care (e.g., therapy, nursing, and physician)</w:t>
      </w:r>
    </w:p>
    <w:p w:rsidR="00A34720" w:rsidRPr="00CE7DA3" w:rsidRDefault="00A34720" w:rsidP="000A3518">
      <w:pPr>
        <w:spacing w:before="100" w:beforeAutospacing="1" w:after="100" w:afterAutospacing="1" w:line="480" w:lineRule="auto"/>
        <w:ind w:firstLine="720"/>
        <w:jc w:val="both"/>
        <w:rPr>
          <w:rFonts w:ascii="Times New Roman" w:eastAsia="Times New Roman" w:hAnsi="Times New Roman" w:cs="Times New Roman"/>
          <w:sz w:val="24"/>
          <w:szCs w:val="24"/>
        </w:rPr>
      </w:pPr>
      <w:r w:rsidRPr="00CE7DA3">
        <w:rPr>
          <w:rFonts w:ascii="Times New Roman" w:eastAsia="Times New Roman" w:hAnsi="Times New Roman" w:cs="Times New Roman"/>
          <w:sz w:val="24"/>
          <w:szCs w:val="24"/>
        </w:rPr>
        <w:t>With regards to providing outpatient care, the healthcare providers agree with payers on a specific target price for the particular clinical condition. Therefore, both the physicians and the pay</w:t>
      </w:r>
      <w:r w:rsidR="000A3518">
        <w:rPr>
          <w:rFonts w:ascii="Times New Roman" w:eastAsia="Times New Roman" w:hAnsi="Times New Roman" w:cs="Times New Roman"/>
          <w:sz w:val="24"/>
          <w:szCs w:val="24"/>
        </w:rPr>
        <w:t xml:space="preserve">ers tend to set a target price </w:t>
      </w:r>
      <w:r w:rsidRPr="00CE7DA3">
        <w:rPr>
          <w:rFonts w:ascii="Times New Roman" w:eastAsia="Times New Roman" w:hAnsi="Times New Roman" w:cs="Times New Roman"/>
          <w:sz w:val="24"/>
          <w:szCs w:val="24"/>
        </w:rPr>
        <w:t xml:space="preserve">which is decided based on the overall variation and mean pricing in historical payments. In this case, the hospital tends to group outpatients based on the similarity of their conditions. Afterward, some of the physicians are assigned to different groups of the patients and thus the payment is based on the health outcome of the patients. </w:t>
      </w:r>
    </w:p>
    <w:p w:rsidR="00A34720" w:rsidRPr="00CE7DA3" w:rsidRDefault="00A34720" w:rsidP="00A34720">
      <w:pPr>
        <w:spacing w:before="100" w:beforeAutospacing="1" w:after="100" w:afterAutospacing="1" w:line="480" w:lineRule="auto"/>
        <w:jc w:val="both"/>
        <w:rPr>
          <w:rFonts w:ascii="Times New Roman" w:eastAsia="Times New Roman" w:hAnsi="Times New Roman" w:cs="Times New Roman"/>
          <w:sz w:val="24"/>
          <w:szCs w:val="24"/>
        </w:rPr>
      </w:pPr>
      <w:r w:rsidRPr="00CE7DA3">
        <w:rPr>
          <w:rFonts w:ascii="Times New Roman" w:eastAsia="Times New Roman" w:hAnsi="Times New Roman" w:cs="Times New Roman"/>
          <w:sz w:val="24"/>
          <w:szCs w:val="24"/>
        </w:rPr>
        <w:t>Home health</w:t>
      </w:r>
    </w:p>
    <w:p w:rsidR="00A34720" w:rsidRPr="00CE7DA3" w:rsidRDefault="00A34720" w:rsidP="00BA2882">
      <w:pPr>
        <w:spacing w:before="100" w:beforeAutospacing="1" w:after="100" w:afterAutospacing="1" w:line="480" w:lineRule="auto"/>
        <w:ind w:firstLine="720"/>
        <w:jc w:val="both"/>
        <w:rPr>
          <w:rFonts w:ascii="Times New Roman" w:eastAsia="Times New Roman" w:hAnsi="Times New Roman" w:cs="Times New Roman"/>
          <w:sz w:val="24"/>
          <w:szCs w:val="24"/>
        </w:rPr>
      </w:pPr>
      <w:r w:rsidRPr="00CE7DA3">
        <w:rPr>
          <w:rFonts w:ascii="Times New Roman" w:eastAsia="Times New Roman" w:hAnsi="Times New Roman" w:cs="Times New Roman"/>
          <w:sz w:val="24"/>
          <w:szCs w:val="24"/>
        </w:rPr>
        <w:t xml:space="preserve">Bundled care constitutes delivery of service and a model of funding that </w:t>
      </w:r>
      <w:r w:rsidR="00E87D1E">
        <w:rPr>
          <w:rFonts w:ascii="Times New Roman" w:eastAsia="Times New Roman" w:hAnsi="Times New Roman" w:cs="Times New Roman"/>
          <w:sz w:val="24"/>
          <w:szCs w:val="24"/>
        </w:rPr>
        <w:t xml:space="preserve">is </w:t>
      </w:r>
      <w:r w:rsidRPr="00CE7DA3">
        <w:rPr>
          <w:rFonts w:ascii="Times New Roman" w:eastAsia="Times New Roman" w:hAnsi="Times New Roman" w:cs="Times New Roman"/>
          <w:sz w:val="24"/>
          <w:szCs w:val="24"/>
        </w:rPr>
        <w:t>intended to promote greater integration in healthcare delivery, enhance quality and cost-effective healthcare</w:t>
      </w:r>
      <w:r w:rsidR="000E1309">
        <w:rPr>
          <w:rFonts w:ascii="Times New Roman" w:eastAsia="Times New Roman" w:hAnsi="Times New Roman" w:cs="Times New Roman"/>
          <w:sz w:val="24"/>
          <w:szCs w:val="24"/>
        </w:rPr>
        <w:t xml:space="preserve"> </w:t>
      </w:r>
      <w:r w:rsidR="000E1309" w:rsidRPr="00CE7DA3">
        <w:rPr>
          <w:rFonts w:ascii="Times New Roman" w:eastAsia="Times New Roman" w:hAnsi="Times New Roman" w:cs="Times New Roman"/>
          <w:sz w:val="24"/>
          <w:szCs w:val="24"/>
        </w:rPr>
        <w:t>(Porter &amp; Lee, 2016</w:t>
      </w:r>
      <w:r w:rsidR="000E1309">
        <w:rPr>
          <w:rFonts w:ascii="Times New Roman" w:eastAsia="Times New Roman" w:hAnsi="Times New Roman" w:cs="Times New Roman"/>
          <w:sz w:val="24"/>
          <w:szCs w:val="24"/>
        </w:rPr>
        <w:t>)</w:t>
      </w:r>
      <w:r w:rsidRPr="00CE7DA3">
        <w:rPr>
          <w:rFonts w:ascii="Times New Roman" w:eastAsia="Times New Roman" w:hAnsi="Times New Roman" w:cs="Times New Roman"/>
          <w:sz w:val="24"/>
          <w:szCs w:val="24"/>
        </w:rPr>
        <w:t>. In this case, hospitals are required to have a certain group of physicians that deliver health services to patients when</w:t>
      </w:r>
      <w:r w:rsidR="00E87D1E">
        <w:rPr>
          <w:rFonts w:ascii="Times New Roman" w:eastAsia="Times New Roman" w:hAnsi="Times New Roman" w:cs="Times New Roman"/>
          <w:sz w:val="24"/>
          <w:szCs w:val="24"/>
        </w:rPr>
        <w:t xml:space="preserve"> they are at home. The</w:t>
      </w:r>
      <w:r w:rsidRPr="00CE7DA3">
        <w:rPr>
          <w:rFonts w:ascii="Times New Roman" w:eastAsia="Times New Roman" w:hAnsi="Times New Roman" w:cs="Times New Roman"/>
          <w:sz w:val="24"/>
          <w:szCs w:val="24"/>
        </w:rPr>
        <w:t xml:space="preserve"> healthcare providers will only be dealing with home health patients. Furthermore, the group of doctors dealing with home health is required to ensur</w:t>
      </w:r>
      <w:r w:rsidR="00E87D1E">
        <w:rPr>
          <w:rFonts w:ascii="Times New Roman" w:eastAsia="Times New Roman" w:hAnsi="Times New Roman" w:cs="Times New Roman"/>
          <w:sz w:val="24"/>
          <w:szCs w:val="24"/>
        </w:rPr>
        <w:t>e that the outcome of their</w:t>
      </w:r>
      <w:r w:rsidRPr="00CE7DA3">
        <w:rPr>
          <w:rFonts w:ascii="Times New Roman" w:eastAsia="Times New Roman" w:hAnsi="Times New Roman" w:cs="Times New Roman"/>
          <w:sz w:val="24"/>
          <w:szCs w:val="24"/>
        </w:rPr>
        <w:t xml:space="preserve"> progress is commendable to ascertain the disbursement that the group will get.</w:t>
      </w:r>
    </w:p>
    <w:p w:rsidR="00A34720" w:rsidRPr="00CE7DA3" w:rsidRDefault="00A34720" w:rsidP="00A34720">
      <w:pPr>
        <w:spacing w:before="100" w:beforeAutospacing="1" w:after="100" w:afterAutospacing="1" w:line="480" w:lineRule="auto"/>
        <w:jc w:val="both"/>
        <w:rPr>
          <w:rFonts w:ascii="Times New Roman" w:eastAsia="Times New Roman" w:hAnsi="Times New Roman" w:cs="Times New Roman"/>
          <w:sz w:val="24"/>
          <w:szCs w:val="24"/>
        </w:rPr>
      </w:pPr>
      <w:r w:rsidRPr="00CE7DA3">
        <w:rPr>
          <w:rFonts w:ascii="Times New Roman" w:eastAsia="Times New Roman" w:hAnsi="Times New Roman" w:cs="Times New Roman"/>
          <w:sz w:val="24"/>
          <w:szCs w:val="24"/>
        </w:rPr>
        <w:lastRenderedPageBreak/>
        <w:t>Skilled nursing facility admission</w:t>
      </w:r>
    </w:p>
    <w:p w:rsidR="00A34720" w:rsidRPr="00CE7DA3" w:rsidRDefault="00A34720" w:rsidP="00FD699B">
      <w:pPr>
        <w:spacing w:before="100" w:beforeAutospacing="1" w:after="100" w:afterAutospacing="1" w:line="480" w:lineRule="auto"/>
        <w:ind w:firstLine="720"/>
        <w:jc w:val="both"/>
        <w:rPr>
          <w:rFonts w:ascii="Times New Roman" w:eastAsia="Times New Roman" w:hAnsi="Times New Roman" w:cs="Times New Roman"/>
          <w:sz w:val="24"/>
          <w:szCs w:val="24"/>
        </w:rPr>
      </w:pPr>
      <w:r w:rsidRPr="00CE7DA3">
        <w:rPr>
          <w:rFonts w:ascii="Times New Roman" w:eastAsia="Times New Roman" w:hAnsi="Times New Roman" w:cs="Times New Roman"/>
          <w:sz w:val="24"/>
          <w:szCs w:val="24"/>
        </w:rPr>
        <w:t>In these cases, there should be certain conditions that are allocated to a group of nurses. Notably, this will form a group of health care providers that will be required to deal with all the aspects of the particular condition. Therefore, all the conditions are assigned to a specific group of healthcare providers and thus they are held accountable for the outcomes that patients will demonstrate for the specific conditions</w:t>
      </w:r>
      <w:r w:rsidR="000E1309">
        <w:rPr>
          <w:rFonts w:ascii="Times New Roman" w:eastAsia="Times New Roman" w:hAnsi="Times New Roman" w:cs="Times New Roman"/>
          <w:sz w:val="24"/>
          <w:szCs w:val="24"/>
        </w:rPr>
        <w:t xml:space="preserve"> </w:t>
      </w:r>
      <w:r w:rsidR="000E1309" w:rsidRPr="00CE7DA3">
        <w:rPr>
          <w:rFonts w:ascii="Times New Roman" w:eastAsia="Times New Roman" w:hAnsi="Times New Roman" w:cs="Times New Roman"/>
          <w:sz w:val="24"/>
          <w:szCs w:val="24"/>
        </w:rPr>
        <w:t>(Porter &amp; Lee, 2016</w:t>
      </w:r>
      <w:r w:rsidR="000E1309">
        <w:rPr>
          <w:rFonts w:ascii="Times New Roman" w:eastAsia="Times New Roman" w:hAnsi="Times New Roman" w:cs="Times New Roman"/>
          <w:sz w:val="24"/>
          <w:szCs w:val="24"/>
        </w:rPr>
        <w:t>)</w:t>
      </w:r>
      <w:r w:rsidRPr="00CE7DA3">
        <w:rPr>
          <w:rFonts w:ascii="Times New Roman" w:eastAsia="Times New Roman" w:hAnsi="Times New Roman" w:cs="Times New Roman"/>
          <w:sz w:val="24"/>
          <w:szCs w:val="24"/>
        </w:rPr>
        <w:t xml:space="preserve">. This facilitates a single payment system to a particular group of healthcare providers who are assigned to deal with a specific condition. </w:t>
      </w:r>
    </w:p>
    <w:p w:rsidR="00A34720" w:rsidRPr="00CE7DA3" w:rsidRDefault="00A34720" w:rsidP="00A34720">
      <w:pPr>
        <w:spacing w:before="100" w:beforeAutospacing="1" w:after="100" w:afterAutospacing="1" w:line="480" w:lineRule="auto"/>
        <w:jc w:val="both"/>
        <w:rPr>
          <w:rFonts w:ascii="Times New Roman" w:eastAsia="Times New Roman" w:hAnsi="Times New Roman" w:cs="Times New Roman"/>
          <w:sz w:val="24"/>
          <w:szCs w:val="24"/>
        </w:rPr>
      </w:pPr>
    </w:p>
    <w:p w:rsidR="00A34720" w:rsidRPr="00CE7DA3" w:rsidRDefault="00A34720" w:rsidP="00A34720">
      <w:pPr>
        <w:spacing w:before="100" w:beforeAutospacing="1" w:after="100" w:afterAutospacing="1" w:line="480" w:lineRule="auto"/>
        <w:jc w:val="both"/>
        <w:rPr>
          <w:rFonts w:ascii="Times New Roman" w:eastAsia="Times New Roman" w:hAnsi="Times New Roman" w:cs="Times New Roman"/>
          <w:sz w:val="24"/>
          <w:szCs w:val="24"/>
        </w:rPr>
      </w:pPr>
    </w:p>
    <w:p w:rsidR="00A34720" w:rsidRPr="00CE7DA3" w:rsidRDefault="00A34720" w:rsidP="00A34720">
      <w:pPr>
        <w:spacing w:before="100" w:beforeAutospacing="1" w:after="100" w:afterAutospacing="1" w:line="480" w:lineRule="auto"/>
        <w:jc w:val="both"/>
        <w:rPr>
          <w:rFonts w:ascii="Times New Roman" w:eastAsia="Times New Roman" w:hAnsi="Times New Roman" w:cs="Times New Roman"/>
          <w:sz w:val="24"/>
          <w:szCs w:val="24"/>
        </w:rPr>
      </w:pPr>
    </w:p>
    <w:p w:rsidR="00A34720" w:rsidRPr="00CE7DA3" w:rsidRDefault="00A34720" w:rsidP="00A34720">
      <w:pPr>
        <w:spacing w:before="100" w:beforeAutospacing="1" w:after="100" w:afterAutospacing="1" w:line="480" w:lineRule="auto"/>
        <w:jc w:val="both"/>
        <w:rPr>
          <w:rFonts w:ascii="Times New Roman" w:eastAsia="Times New Roman" w:hAnsi="Times New Roman" w:cs="Times New Roman"/>
          <w:sz w:val="24"/>
          <w:szCs w:val="24"/>
        </w:rPr>
      </w:pPr>
    </w:p>
    <w:p w:rsidR="00CE7DA3" w:rsidRPr="00CE7DA3" w:rsidRDefault="00CE7DA3" w:rsidP="00A34720">
      <w:pPr>
        <w:spacing w:before="100" w:beforeAutospacing="1" w:after="100" w:afterAutospacing="1" w:line="480" w:lineRule="auto"/>
        <w:jc w:val="center"/>
        <w:rPr>
          <w:rFonts w:ascii="Times New Roman" w:eastAsia="Times New Roman" w:hAnsi="Times New Roman" w:cs="Times New Roman"/>
          <w:sz w:val="24"/>
          <w:szCs w:val="24"/>
        </w:rPr>
      </w:pPr>
    </w:p>
    <w:p w:rsidR="00CE7DA3" w:rsidRPr="00CE7DA3" w:rsidRDefault="00CE7DA3" w:rsidP="00A34720">
      <w:pPr>
        <w:spacing w:before="100" w:beforeAutospacing="1" w:after="100" w:afterAutospacing="1" w:line="480" w:lineRule="auto"/>
        <w:jc w:val="center"/>
        <w:rPr>
          <w:rFonts w:ascii="Times New Roman" w:eastAsia="Times New Roman" w:hAnsi="Times New Roman" w:cs="Times New Roman"/>
          <w:sz w:val="24"/>
          <w:szCs w:val="24"/>
        </w:rPr>
      </w:pPr>
    </w:p>
    <w:p w:rsidR="00CE7DA3" w:rsidRPr="00CE7DA3" w:rsidRDefault="00CE7DA3" w:rsidP="00A34720">
      <w:pPr>
        <w:spacing w:before="100" w:beforeAutospacing="1" w:after="100" w:afterAutospacing="1" w:line="480" w:lineRule="auto"/>
        <w:jc w:val="center"/>
        <w:rPr>
          <w:rFonts w:ascii="Times New Roman" w:eastAsia="Times New Roman" w:hAnsi="Times New Roman" w:cs="Times New Roman"/>
          <w:sz w:val="24"/>
          <w:szCs w:val="24"/>
        </w:rPr>
      </w:pPr>
    </w:p>
    <w:p w:rsidR="00CE7DA3" w:rsidRPr="00CE7DA3" w:rsidRDefault="00CE7DA3" w:rsidP="00A34720">
      <w:pPr>
        <w:spacing w:before="100" w:beforeAutospacing="1" w:after="100" w:afterAutospacing="1" w:line="480" w:lineRule="auto"/>
        <w:jc w:val="center"/>
        <w:rPr>
          <w:rFonts w:ascii="Times New Roman" w:eastAsia="Times New Roman" w:hAnsi="Times New Roman" w:cs="Times New Roman"/>
          <w:sz w:val="24"/>
          <w:szCs w:val="24"/>
        </w:rPr>
      </w:pPr>
    </w:p>
    <w:p w:rsidR="00CE7DA3" w:rsidRPr="00CE7DA3" w:rsidRDefault="00CE7DA3" w:rsidP="00A34720">
      <w:pPr>
        <w:spacing w:before="100" w:beforeAutospacing="1" w:after="100" w:afterAutospacing="1" w:line="480" w:lineRule="auto"/>
        <w:jc w:val="center"/>
        <w:rPr>
          <w:rFonts w:ascii="Times New Roman" w:eastAsia="Times New Roman" w:hAnsi="Times New Roman" w:cs="Times New Roman"/>
          <w:sz w:val="24"/>
          <w:szCs w:val="24"/>
        </w:rPr>
      </w:pPr>
    </w:p>
    <w:p w:rsidR="000E1309" w:rsidRPr="00CE7DA3" w:rsidRDefault="000E1309" w:rsidP="000E1309">
      <w:pPr>
        <w:spacing w:before="100" w:beforeAutospacing="1" w:after="100" w:afterAutospacing="1" w:line="480" w:lineRule="auto"/>
        <w:rPr>
          <w:rFonts w:ascii="Times New Roman" w:eastAsia="Times New Roman" w:hAnsi="Times New Roman" w:cs="Times New Roman"/>
          <w:sz w:val="24"/>
          <w:szCs w:val="24"/>
        </w:rPr>
      </w:pPr>
    </w:p>
    <w:p w:rsidR="00A34720" w:rsidRPr="00CE7DA3" w:rsidRDefault="00A34720" w:rsidP="00A34720">
      <w:pPr>
        <w:spacing w:before="100" w:beforeAutospacing="1" w:after="100" w:afterAutospacing="1" w:line="480" w:lineRule="auto"/>
        <w:jc w:val="center"/>
        <w:rPr>
          <w:rFonts w:ascii="Times New Roman" w:eastAsia="Times New Roman" w:hAnsi="Times New Roman" w:cs="Times New Roman"/>
          <w:sz w:val="24"/>
          <w:szCs w:val="24"/>
        </w:rPr>
      </w:pPr>
      <w:r w:rsidRPr="00CE7DA3">
        <w:rPr>
          <w:rFonts w:ascii="Times New Roman" w:eastAsia="Times New Roman" w:hAnsi="Times New Roman" w:cs="Times New Roman"/>
          <w:sz w:val="24"/>
          <w:szCs w:val="24"/>
        </w:rPr>
        <w:lastRenderedPageBreak/>
        <w:t>Reference</w:t>
      </w:r>
      <w:r w:rsidR="000E1309">
        <w:rPr>
          <w:rFonts w:ascii="Times New Roman" w:eastAsia="Times New Roman" w:hAnsi="Times New Roman" w:cs="Times New Roman"/>
          <w:sz w:val="24"/>
          <w:szCs w:val="24"/>
        </w:rPr>
        <w:t>s</w:t>
      </w:r>
    </w:p>
    <w:p w:rsidR="00A34720" w:rsidRPr="00CE7DA3" w:rsidRDefault="00A34720" w:rsidP="000E1309">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spellStart"/>
      <w:r w:rsidRPr="00CE7DA3">
        <w:rPr>
          <w:rFonts w:ascii="Times New Roman" w:eastAsia="Times New Roman" w:hAnsi="Times New Roman" w:cs="Times New Roman"/>
          <w:sz w:val="24"/>
          <w:szCs w:val="24"/>
        </w:rPr>
        <w:t>Kanters</w:t>
      </w:r>
      <w:proofErr w:type="spellEnd"/>
      <w:r w:rsidRPr="00CE7DA3">
        <w:rPr>
          <w:rFonts w:ascii="Times New Roman" w:eastAsia="Times New Roman" w:hAnsi="Times New Roman" w:cs="Times New Roman"/>
          <w:sz w:val="24"/>
          <w:szCs w:val="24"/>
        </w:rPr>
        <w:t xml:space="preserve">, A., &amp; </w:t>
      </w:r>
      <w:proofErr w:type="spellStart"/>
      <w:r w:rsidRPr="00CE7DA3">
        <w:rPr>
          <w:rFonts w:ascii="Times New Roman" w:eastAsia="Times New Roman" w:hAnsi="Times New Roman" w:cs="Times New Roman"/>
          <w:sz w:val="24"/>
          <w:szCs w:val="24"/>
        </w:rPr>
        <w:t>Ellimoottil</w:t>
      </w:r>
      <w:proofErr w:type="spellEnd"/>
      <w:r w:rsidRPr="00CE7DA3">
        <w:rPr>
          <w:rFonts w:ascii="Times New Roman" w:eastAsia="Times New Roman" w:hAnsi="Times New Roman" w:cs="Times New Roman"/>
          <w:sz w:val="24"/>
          <w:szCs w:val="24"/>
        </w:rPr>
        <w:t xml:space="preserve">, C. (2018). Bundled care payment models. Seminars </w:t>
      </w:r>
      <w:proofErr w:type="gramStart"/>
      <w:r w:rsidRPr="00CE7DA3">
        <w:rPr>
          <w:rFonts w:ascii="Times New Roman" w:eastAsia="Times New Roman" w:hAnsi="Times New Roman" w:cs="Times New Roman"/>
          <w:sz w:val="24"/>
          <w:szCs w:val="24"/>
        </w:rPr>
        <w:t>In</w:t>
      </w:r>
      <w:proofErr w:type="gramEnd"/>
      <w:r w:rsidRPr="00CE7DA3">
        <w:rPr>
          <w:rFonts w:ascii="Times New Roman" w:eastAsia="Times New Roman" w:hAnsi="Times New Roman" w:cs="Times New Roman"/>
          <w:sz w:val="24"/>
          <w:szCs w:val="24"/>
        </w:rPr>
        <w:t xml:space="preserve"> Colon And Rectal Surgery, 29(2), 60-63. </w:t>
      </w:r>
      <w:proofErr w:type="spellStart"/>
      <w:proofErr w:type="gramStart"/>
      <w:r w:rsidRPr="00CE7DA3">
        <w:rPr>
          <w:rFonts w:ascii="Times New Roman" w:eastAsia="Times New Roman" w:hAnsi="Times New Roman" w:cs="Times New Roman"/>
          <w:sz w:val="24"/>
          <w:szCs w:val="24"/>
        </w:rPr>
        <w:t>d</w:t>
      </w:r>
      <w:bookmarkStart w:id="0" w:name="_GoBack"/>
      <w:bookmarkEnd w:id="0"/>
      <w:r w:rsidRPr="00CE7DA3">
        <w:rPr>
          <w:rFonts w:ascii="Times New Roman" w:eastAsia="Times New Roman" w:hAnsi="Times New Roman" w:cs="Times New Roman"/>
          <w:sz w:val="24"/>
          <w:szCs w:val="24"/>
        </w:rPr>
        <w:t>oi</w:t>
      </w:r>
      <w:proofErr w:type="spellEnd"/>
      <w:proofErr w:type="gramEnd"/>
      <w:r w:rsidRPr="00CE7DA3">
        <w:rPr>
          <w:rFonts w:ascii="Times New Roman" w:eastAsia="Times New Roman" w:hAnsi="Times New Roman" w:cs="Times New Roman"/>
          <w:sz w:val="24"/>
          <w:szCs w:val="24"/>
        </w:rPr>
        <w:t>: 10.1053/j.scrs.2018.01.004</w:t>
      </w:r>
    </w:p>
    <w:p w:rsidR="009C250C" w:rsidRPr="00CE7DA3" w:rsidRDefault="00A34720" w:rsidP="000E1309">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CE7DA3">
        <w:rPr>
          <w:rFonts w:ascii="Times New Roman" w:eastAsia="Times New Roman" w:hAnsi="Times New Roman" w:cs="Times New Roman"/>
          <w:sz w:val="24"/>
          <w:szCs w:val="24"/>
        </w:rPr>
        <w:t xml:space="preserve">Porter, M. E., &amp; Lee, T. H. (2016). From volume to value in health care: the work begins. </w:t>
      </w:r>
      <w:proofErr w:type="spellStart"/>
      <w:r w:rsidRPr="00CE7DA3">
        <w:rPr>
          <w:rFonts w:ascii="Times New Roman" w:eastAsia="Times New Roman" w:hAnsi="Times New Roman" w:cs="Times New Roman"/>
          <w:sz w:val="24"/>
          <w:szCs w:val="24"/>
        </w:rPr>
        <w:t>Jama</w:t>
      </w:r>
      <w:proofErr w:type="spellEnd"/>
      <w:r w:rsidRPr="00CE7DA3">
        <w:rPr>
          <w:rFonts w:ascii="Times New Roman" w:eastAsia="Times New Roman" w:hAnsi="Times New Roman" w:cs="Times New Roman"/>
          <w:sz w:val="24"/>
          <w:szCs w:val="24"/>
        </w:rPr>
        <w:t>, 316(10), 1047-1048.</w:t>
      </w:r>
    </w:p>
    <w:sectPr w:rsidR="009C250C" w:rsidRPr="00CE7DA3" w:rsidSect="000E13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4EE" w:rsidRDefault="002D14EE" w:rsidP="003F2D79">
      <w:pPr>
        <w:spacing w:after="0" w:line="240" w:lineRule="auto"/>
      </w:pPr>
      <w:r>
        <w:separator/>
      </w:r>
    </w:p>
  </w:endnote>
  <w:endnote w:type="continuationSeparator" w:id="0">
    <w:p w:rsidR="002D14EE" w:rsidRDefault="002D14EE" w:rsidP="003F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4EE" w:rsidRDefault="002D14EE" w:rsidP="003F2D79">
      <w:pPr>
        <w:spacing w:after="0" w:line="240" w:lineRule="auto"/>
      </w:pPr>
      <w:r>
        <w:separator/>
      </w:r>
    </w:p>
  </w:footnote>
  <w:footnote w:type="continuationSeparator" w:id="0">
    <w:p w:rsidR="002D14EE" w:rsidRDefault="002D14EE" w:rsidP="003F2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40287665"/>
      <w:docPartObj>
        <w:docPartGallery w:val="Page Numbers (Top of Page)"/>
        <w:docPartUnique/>
      </w:docPartObj>
    </w:sdtPr>
    <w:sdtEndPr>
      <w:rPr>
        <w:noProof/>
      </w:rPr>
    </w:sdtEndPr>
    <w:sdtContent>
      <w:p w:rsidR="000E1309" w:rsidRPr="00FD699B" w:rsidRDefault="00FD699B">
        <w:pPr>
          <w:pStyle w:val="Header"/>
          <w:rPr>
            <w:rFonts w:ascii="Times New Roman" w:hAnsi="Times New Roman" w:cs="Times New Roman"/>
            <w:sz w:val="24"/>
            <w:szCs w:val="24"/>
          </w:rPr>
        </w:pPr>
        <w:r w:rsidRPr="00FD699B">
          <w:rPr>
            <w:rFonts w:ascii="Times New Roman" w:hAnsi="Times New Roman" w:cs="Times New Roman"/>
            <w:sz w:val="24"/>
            <w:szCs w:val="24"/>
          </w:rPr>
          <w:t>ACCOUNTING AND FINANCIAL PRINCIPLES</w:t>
        </w:r>
        <w:r w:rsidR="000E1309" w:rsidRPr="00FD699B">
          <w:rPr>
            <w:rFonts w:ascii="Times New Roman" w:hAnsi="Times New Roman" w:cs="Times New Roman"/>
            <w:sz w:val="24"/>
            <w:szCs w:val="24"/>
          </w:rPr>
          <w:tab/>
        </w:r>
        <w:r w:rsidR="000E1309" w:rsidRPr="00FD699B">
          <w:rPr>
            <w:rFonts w:ascii="Times New Roman" w:hAnsi="Times New Roman" w:cs="Times New Roman"/>
            <w:sz w:val="24"/>
            <w:szCs w:val="24"/>
          </w:rPr>
          <w:fldChar w:fldCharType="begin"/>
        </w:r>
        <w:r w:rsidR="000E1309" w:rsidRPr="00FD699B">
          <w:rPr>
            <w:rFonts w:ascii="Times New Roman" w:hAnsi="Times New Roman" w:cs="Times New Roman"/>
            <w:sz w:val="24"/>
            <w:szCs w:val="24"/>
          </w:rPr>
          <w:instrText xml:space="preserve"> PAGE   \* MERGEFORMAT </w:instrText>
        </w:r>
        <w:r w:rsidR="000E1309" w:rsidRPr="00FD699B">
          <w:rPr>
            <w:rFonts w:ascii="Times New Roman" w:hAnsi="Times New Roman" w:cs="Times New Roman"/>
            <w:sz w:val="24"/>
            <w:szCs w:val="24"/>
          </w:rPr>
          <w:fldChar w:fldCharType="separate"/>
        </w:r>
        <w:r>
          <w:rPr>
            <w:rFonts w:ascii="Times New Roman" w:hAnsi="Times New Roman" w:cs="Times New Roman"/>
            <w:noProof/>
            <w:sz w:val="24"/>
            <w:szCs w:val="24"/>
          </w:rPr>
          <w:t>5</w:t>
        </w:r>
        <w:r w:rsidR="000E1309" w:rsidRPr="00FD699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B8" w:rsidRPr="000E1309" w:rsidRDefault="000E1309" w:rsidP="000E1309">
    <w:pPr>
      <w:pStyle w:val="Header"/>
      <w:jc w:val="right"/>
      <w:rPr>
        <w:rFonts w:ascii="Times New Roman" w:hAnsi="Times New Roman" w:cs="Times New Roman"/>
        <w:sz w:val="24"/>
        <w:szCs w:val="24"/>
      </w:rPr>
    </w:pPr>
    <w:r w:rsidRPr="000E1309">
      <w:rPr>
        <w:rFonts w:ascii="Times New Roman" w:hAnsi="Times New Roman" w:cs="Times New Roman"/>
        <w:sz w:val="24"/>
        <w:szCs w:val="24"/>
      </w:rPr>
      <w:t>Running head: ACCOUNTING AND FINANCIAL PRINCIPLES</w:t>
    </w:r>
    <w:r w:rsidRPr="000E1309">
      <w:rPr>
        <w:rFonts w:ascii="Times New Roman" w:hAnsi="Times New Roman" w:cs="Times New Roman"/>
        <w:sz w:val="24"/>
        <w:szCs w:val="24"/>
      </w:rPr>
      <w:tab/>
    </w:r>
    <w:sdt>
      <w:sdtPr>
        <w:rPr>
          <w:rFonts w:ascii="Times New Roman" w:hAnsi="Times New Roman" w:cs="Times New Roman"/>
          <w:sz w:val="24"/>
          <w:szCs w:val="24"/>
        </w:rPr>
        <w:id w:val="-499505567"/>
        <w:docPartObj>
          <w:docPartGallery w:val="Page Numbers (Top of Page)"/>
          <w:docPartUnique/>
        </w:docPartObj>
      </w:sdtPr>
      <w:sdtEndPr>
        <w:rPr>
          <w:noProof/>
        </w:rPr>
      </w:sdtEndPr>
      <w:sdtContent>
        <w:r w:rsidRPr="000E1309">
          <w:rPr>
            <w:rFonts w:ascii="Times New Roman" w:hAnsi="Times New Roman" w:cs="Times New Roman"/>
            <w:sz w:val="24"/>
            <w:szCs w:val="24"/>
          </w:rPr>
          <w:fldChar w:fldCharType="begin"/>
        </w:r>
        <w:r w:rsidRPr="000E1309">
          <w:rPr>
            <w:rFonts w:ascii="Times New Roman" w:hAnsi="Times New Roman" w:cs="Times New Roman"/>
            <w:sz w:val="24"/>
            <w:szCs w:val="24"/>
          </w:rPr>
          <w:instrText xml:space="preserve"> PAGE   \* MERGEFORMAT </w:instrText>
        </w:r>
        <w:r w:rsidRPr="000E1309">
          <w:rPr>
            <w:rFonts w:ascii="Times New Roman" w:hAnsi="Times New Roman" w:cs="Times New Roman"/>
            <w:sz w:val="24"/>
            <w:szCs w:val="24"/>
          </w:rPr>
          <w:fldChar w:fldCharType="separate"/>
        </w:r>
        <w:r w:rsidR="00FD699B">
          <w:rPr>
            <w:rFonts w:ascii="Times New Roman" w:hAnsi="Times New Roman" w:cs="Times New Roman"/>
            <w:noProof/>
            <w:sz w:val="24"/>
            <w:szCs w:val="24"/>
          </w:rPr>
          <w:t>1</w:t>
        </w:r>
        <w:r w:rsidRPr="000E130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9E6022"/>
    <w:multiLevelType w:val="multilevel"/>
    <w:tmpl w:val="80C2F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EF0"/>
    <w:rsid w:val="00053E94"/>
    <w:rsid w:val="00095319"/>
    <w:rsid w:val="000A3518"/>
    <w:rsid w:val="000E1309"/>
    <w:rsid w:val="00145551"/>
    <w:rsid w:val="002D14EE"/>
    <w:rsid w:val="00392B92"/>
    <w:rsid w:val="003D1403"/>
    <w:rsid w:val="003F2D79"/>
    <w:rsid w:val="003F5B70"/>
    <w:rsid w:val="00586F6A"/>
    <w:rsid w:val="00712CAF"/>
    <w:rsid w:val="00722340"/>
    <w:rsid w:val="00732E06"/>
    <w:rsid w:val="0075006A"/>
    <w:rsid w:val="007E0386"/>
    <w:rsid w:val="00904FF4"/>
    <w:rsid w:val="009C250C"/>
    <w:rsid w:val="009D4D44"/>
    <w:rsid w:val="00A34720"/>
    <w:rsid w:val="00A83DFB"/>
    <w:rsid w:val="00AA4E14"/>
    <w:rsid w:val="00AB478F"/>
    <w:rsid w:val="00AF62FE"/>
    <w:rsid w:val="00B2284B"/>
    <w:rsid w:val="00B56517"/>
    <w:rsid w:val="00BA2882"/>
    <w:rsid w:val="00BA53A3"/>
    <w:rsid w:val="00C04A4A"/>
    <w:rsid w:val="00C04B5B"/>
    <w:rsid w:val="00C55BDD"/>
    <w:rsid w:val="00CE7DA3"/>
    <w:rsid w:val="00D236CE"/>
    <w:rsid w:val="00D35BB8"/>
    <w:rsid w:val="00DA2EF0"/>
    <w:rsid w:val="00DF59D2"/>
    <w:rsid w:val="00E87D1E"/>
    <w:rsid w:val="00EA239F"/>
    <w:rsid w:val="00EC0507"/>
    <w:rsid w:val="00F0199F"/>
    <w:rsid w:val="00F355EE"/>
    <w:rsid w:val="00FB7D49"/>
    <w:rsid w:val="00FD699B"/>
    <w:rsid w:val="00FF54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31C5C2-7D42-47A5-8868-B4FE8C1AC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403"/>
  </w:style>
  <w:style w:type="paragraph" w:styleId="Heading1">
    <w:name w:val="heading 1"/>
    <w:basedOn w:val="Normal"/>
    <w:next w:val="Normal"/>
    <w:link w:val="Heading1Char"/>
    <w:uiPriority w:val="9"/>
    <w:qFormat/>
    <w:rsid w:val="00712C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5006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006A"/>
    <w:rPr>
      <w:rFonts w:ascii="Times New Roman" w:eastAsia="Times New Roman" w:hAnsi="Times New Roman" w:cs="Times New Roman"/>
      <w:b/>
      <w:bCs/>
      <w:sz w:val="36"/>
      <w:szCs w:val="36"/>
    </w:rPr>
  </w:style>
  <w:style w:type="paragraph" w:styleId="NormalWeb">
    <w:name w:val="Normal (Web)"/>
    <w:basedOn w:val="Normal"/>
    <w:uiPriority w:val="99"/>
    <w:unhideWhenUsed/>
    <w:rsid w:val="007500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editsingleattach">
    <w:name w:val="iteditsingleattach"/>
    <w:basedOn w:val="DefaultParagraphFont"/>
    <w:rsid w:val="0075006A"/>
  </w:style>
  <w:style w:type="character" w:customStyle="1" w:styleId="Heading1Char">
    <w:name w:val="Heading 1 Char"/>
    <w:basedOn w:val="DefaultParagraphFont"/>
    <w:link w:val="Heading1"/>
    <w:uiPriority w:val="9"/>
    <w:rsid w:val="00712CAF"/>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D4D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D44"/>
    <w:rPr>
      <w:rFonts w:ascii="Segoe UI" w:hAnsi="Segoe UI" w:cs="Segoe UI"/>
      <w:sz w:val="18"/>
      <w:szCs w:val="18"/>
    </w:rPr>
  </w:style>
  <w:style w:type="paragraph" w:styleId="Header">
    <w:name w:val="header"/>
    <w:basedOn w:val="Normal"/>
    <w:link w:val="HeaderChar"/>
    <w:uiPriority w:val="99"/>
    <w:unhideWhenUsed/>
    <w:rsid w:val="003F2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D79"/>
  </w:style>
  <w:style w:type="paragraph" w:styleId="Footer">
    <w:name w:val="footer"/>
    <w:basedOn w:val="Normal"/>
    <w:link w:val="FooterChar"/>
    <w:uiPriority w:val="99"/>
    <w:unhideWhenUsed/>
    <w:rsid w:val="003F2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D79"/>
  </w:style>
  <w:style w:type="character" w:styleId="Hyperlink">
    <w:name w:val="Hyperlink"/>
    <w:basedOn w:val="DefaultParagraphFont"/>
    <w:uiPriority w:val="99"/>
    <w:semiHidden/>
    <w:unhideWhenUsed/>
    <w:rsid w:val="00F0199F"/>
    <w:rPr>
      <w:color w:val="0000FF"/>
      <w:u w:val="single"/>
    </w:rPr>
  </w:style>
  <w:style w:type="character" w:customStyle="1" w:styleId="selectable">
    <w:name w:val="selectable"/>
    <w:basedOn w:val="DefaultParagraphFont"/>
    <w:rsid w:val="00B2284B"/>
  </w:style>
  <w:style w:type="character" w:styleId="Strong">
    <w:name w:val="Strong"/>
    <w:basedOn w:val="DefaultParagraphFont"/>
    <w:uiPriority w:val="22"/>
    <w:qFormat/>
    <w:rsid w:val="00B228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301253">
      <w:bodyDiv w:val="1"/>
      <w:marLeft w:val="0"/>
      <w:marRight w:val="0"/>
      <w:marTop w:val="0"/>
      <w:marBottom w:val="0"/>
      <w:divBdr>
        <w:top w:val="none" w:sz="0" w:space="0" w:color="auto"/>
        <w:left w:val="none" w:sz="0" w:space="0" w:color="auto"/>
        <w:bottom w:val="none" w:sz="0" w:space="0" w:color="auto"/>
        <w:right w:val="none" w:sz="0" w:space="0" w:color="auto"/>
      </w:divBdr>
    </w:div>
    <w:div w:id="1018773989">
      <w:bodyDiv w:val="1"/>
      <w:marLeft w:val="0"/>
      <w:marRight w:val="0"/>
      <w:marTop w:val="0"/>
      <w:marBottom w:val="0"/>
      <w:divBdr>
        <w:top w:val="none" w:sz="0" w:space="0" w:color="auto"/>
        <w:left w:val="none" w:sz="0" w:space="0" w:color="auto"/>
        <w:bottom w:val="none" w:sz="0" w:space="0" w:color="auto"/>
        <w:right w:val="none" w:sz="0" w:space="0" w:color="auto"/>
      </w:divBdr>
    </w:div>
    <w:div w:id="1023476909">
      <w:bodyDiv w:val="1"/>
      <w:marLeft w:val="0"/>
      <w:marRight w:val="0"/>
      <w:marTop w:val="0"/>
      <w:marBottom w:val="0"/>
      <w:divBdr>
        <w:top w:val="none" w:sz="0" w:space="0" w:color="auto"/>
        <w:left w:val="none" w:sz="0" w:space="0" w:color="auto"/>
        <w:bottom w:val="none" w:sz="0" w:space="0" w:color="auto"/>
        <w:right w:val="none" w:sz="0" w:space="0" w:color="auto"/>
      </w:divBdr>
      <w:divsChild>
        <w:div w:id="1092122433">
          <w:marLeft w:val="0"/>
          <w:marRight w:val="0"/>
          <w:marTop w:val="0"/>
          <w:marBottom w:val="0"/>
          <w:divBdr>
            <w:top w:val="none" w:sz="0" w:space="0" w:color="auto"/>
            <w:left w:val="none" w:sz="0" w:space="0" w:color="auto"/>
            <w:bottom w:val="none" w:sz="0" w:space="0" w:color="auto"/>
            <w:right w:val="none" w:sz="0" w:space="0" w:color="auto"/>
          </w:divBdr>
          <w:divsChild>
            <w:div w:id="237789922">
              <w:marLeft w:val="0"/>
              <w:marRight w:val="0"/>
              <w:marTop w:val="0"/>
              <w:marBottom w:val="0"/>
              <w:divBdr>
                <w:top w:val="none" w:sz="0" w:space="0" w:color="auto"/>
                <w:left w:val="none" w:sz="0" w:space="0" w:color="auto"/>
                <w:bottom w:val="none" w:sz="0" w:space="0" w:color="auto"/>
                <w:right w:val="none" w:sz="0" w:space="0" w:color="auto"/>
              </w:divBdr>
            </w:div>
          </w:divsChild>
        </w:div>
        <w:div w:id="559487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4302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Morrison</dc:creator>
  <cp:lastModifiedBy>Kelvin Jackson</cp:lastModifiedBy>
  <cp:revision>2</cp:revision>
  <dcterms:created xsi:type="dcterms:W3CDTF">2019-05-28T16:52:00Z</dcterms:created>
  <dcterms:modified xsi:type="dcterms:W3CDTF">2019-05-28T16:52:00Z</dcterms:modified>
</cp:coreProperties>
</file>